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F2" w:rsidRPr="00DA6636" w:rsidRDefault="004D19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DA66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</w:t>
      </w:r>
    </w:p>
    <w:p w:rsidR="004D19F2" w:rsidRPr="00DA6636" w:rsidRDefault="00DA66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 ТЕНДЕРНОГО КОМІТЕТУ</w:t>
      </w:r>
    </w:p>
    <w:p w:rsidR="004D19F2" w:rsidRPr="00DA6636" w:rsidRDefault="00DA66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5"/>
        <w:tblW w:w="89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4D19F2" w:rsidRPr="00DA6636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«(</w:t>
            </w:r>
            <w:r w:rsidRPr="00DA663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дату</w:t>
            </w: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)» 2019р.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№ ___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«(</w:t>
            </w:r>
            <w:r w:rsidRPr="00DA663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  <w:t>вкажіть населений пункт</w:t>
            </w: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)»</w:t>
            </w:r>
          </w:p>
        </w:tc>
      </w:tr>
    </w:tbl>
    <w:p w:rsidR="004D19F2" w:rsidRPr="00DA6636" w:rsidRDefault="00DA663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281"/>
        <w:gridCol w:w="2465"/>
      </w:tblGrid>
      <w:tr w:rsidR="004D19F2" w:rsidRPr="00DA6636">
        <w:trPr>
          <w:trHeight w:val="4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4D19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D19F2" w:rsidRPr="00DA6636" w:rsidRDefault="00DA66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  <w:p w:rsidR="004D19F2" w:rsidRPr="00DA6636" w:rsidRDefault="00DA66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  <w:p w:rsidR="004D19F2" w:rsidRPr="00DA6636" w:rsidRDefault="00DA66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  <w:p w:rsidR="004D19F2" w:rsidRPr="00DA6636" w:rsidRDefault="00DA66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  <w:p w:rsidR="004D19F2" w:rsidRPr="00DA6636" w:rsidRDefault="00DA663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тендерного комітету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4D19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4D19F2" w:rsidRPr="00DA6636" w:rsidRDefault="00DA663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  <w:p w:rsidR="004D19F2" w:rsidRPr="00DA6636" w:rsidRDefault="004D19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D19F2" w:rsidRPr="00DA6636" w:rsidRDefault="004D19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19F2" w:rsidRPr="00DA6636" w:rsidRDefault="00DA66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4D19F2" w:rsidRPr="00DA6636" w:rsidRDefault="00DA6636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1. Про визначення результатів розгляду тендерних пропозицій, поданих на участь у відкритих торгах, згідно предмету закупівлі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вкажіть назву предмету закупівлі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 - код національного класифікатора України ДК 021:2015 “Єдиний закупівельний словник” –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вкажі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ть код ДК 021:2015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та вжиття заходів за результатами розгляду, передбачених згідно ст. 28 Закону України «Про публічні закупівлі» (далі - Закон). </w:t>
      </w:r>
    </w:p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питання 1 порядку денного слухали: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«ПІБ», «ПІБ»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Доповідачі повідомили, що згідно ч. 5 ст. 28 Закону у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разі якщо оголошення про проведення процедури закупівлі оприлюднюється відповідно до норм частини четвертої статті 10 Закону, замовник розглядає тендерні пропозиції на відповідність технічним вимогам, визначеним у тендерній документації, та визначає відпо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відність учасників кваліфікаційним критеріям до проведення автоматичної оцінки тендерних пропозицій у строк, що не перевищує 20 робочих днів.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розгляду складається протокол розгляду тендерних пропозицій за формою, встановленою Уповноваженим 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органом, та оприлюднюється замовником на веб-порталі Уповноваженого органу відповідно до статті 10 Закону.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никам тендеру та оприлюднюється перелік учасників, тендерні пропозиції яких не відхилені згідно із Законом.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Якщо за результатами розгляду тендерних пропозицій до оцінки допущено тендерні пропозиції менше ніж двох учасників, процедура закупівлі відміняється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та учасники не можуть ініціювати будь-які переговори з питань внесення змін до змісту або ціни поданої тендерної пропозиції.</w:t>
      </w:r>
    </w:p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 участь у відкритих торгах було подано пропозиції наступних учасників: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«(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>найменування учасника процедури заку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»;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«(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»;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....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виконання вимог тендерної документації учасниками при поданні тендерних пропозицій через електронну систему закупівель було завантажено документи, що підтверджують відповідність тендерних пропозицій інформації про необхідні технічні, якісні та кількісні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характеристики предмету закупівлі, відповідність учасників встановленим замовником кваліфікаційними критеріям та відсутність підстав для відмови в участі в процедурі закупівлі згідно ст. 17 Закону.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розгляду наданих учасниками документів те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ндерним комітетом встановлено, що тендерна пропозиція учасника торгів 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«(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» 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не відповідає технічним вимогам, визначеним у тендерній документації, ви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ходячи з наступного: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1)......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2)......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В той же час, тендерним комітетом встановлено відповідність поданих тендерних пропозицій учасників торгів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 технічним вимогам до предмету закупівлі, визначеним у тендерній документації, відповідність таких учасників кваліфікаційним критеріям, а також відсутність підстав для відмови учасникам в участі в процедурі закупівлі згідно ст. 17 Закону: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1)......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2)....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..</w:t>
      </w:r>
    </w:p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«ПІБ», «ПІБ»</w:t>
      </w:r>
    </w:p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1. За результатами проведення розгляду тендерних пропозицій відхилити тендерну пропозицію учасника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 та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 з підстав її невідповідності умовам тендерної документації, а саме з причин невідповідності такої пропозиції технічним вимогам, визначеним у те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ндерній документації.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2. Допустити до участі в електронному аукціоні тендерні пропозиції учасників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найменування учасника процедури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 та «</w:t>
      </w:r>
      <w:r w:rsidRPr="00DA663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 xml:space="preserve">вкажіть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>найменування учасника процедур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  <w:u w:val="single"/>
          <w:lang w:val="uk-UA"/>
        </w:rPr>
        <w:t xml:space="preserve">и закупівлі (для юридичної особи) або ПІБ (для фізичної особи) </w:t>
      </w:r>
      <w:r w:rsidRPr="00DA66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учасника)</w:t>
      </w: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 З використанням електронної системи закупівель оприлюднити протокол розгляду тендерних пропозицій у відповідності з вимогами ст. 10 Закону на веб-порталі Уповноваженого органу.</w:t>
      </w:r>
    </w:p>
    <w:p w:rsidR="004D19F2" w:rsidRPr="00DA6636" w:rsidRDefault="004D19F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DA6636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ГОЛОСУВАЛИ:</w:t>
      </w:r>
    </w:p>
    <w:tbl>
      <w:tblPr>
        <w:tblStyle w:val="a7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4D19F2" w:rsidRPr="00DA6636">
        <w:trPr>
          <w:trHeight w:val="12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 комітету: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голосування</w:t>
            </w:r>
          </w:p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(«</w:t>
            </w: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</w:t>
            </w: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 «Проти», «Утримався»):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     «За»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«За»</w:t>
            </w:r>
          </w:p>
        </w:tc>
      </w:tr>
    </w:tbl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D19F2" w:rsidRPr="00DA6636" w:rsidRDefault="00DA6636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66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Підписи:</w:t>
      </w:r>
    </w:p>
    <w:p w:rsidR="004D19F2" w:rsidRPr="00DA6636" w:rsidRDefault="004D19F2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875"/>
        <w:gridCol w:w="2694"/>
      </w:tblGrid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голови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  <w:tr w:rsidR="004D19F2" w:rsidRPr="00DA6636">
        <w:trPr>
          <w:trHeight w:val="48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</w:t>
            </w:r>
            <w:bookmarkStart w:id="0" w:name="_GoBack"/>
            <w:bookmarkEnd w:id="0"/>
            <w:r w:rsidRPr="00DA66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тендерного комітету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«ПІБ»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9F2" w:rsidRPr="00DA6636" w:rsidRDefault="00DA6636">
            <w:pPr>
              <w:ind w:firstLine="7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A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________</w:t>
            </w:r>
          </w:p>
        </w:tc>
      </w:tr>
    </w:tbl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19F2" w:rsidRPr="00DA6636" w:rsidRDefault="004D19F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D19F2" w:rsidRPr="00DA6636" w:rsidRDefault="004D19F2">
      <w:pPr>
        <w:jc w:val="center"/>
        <w:rPr>
          <w:lang w:val="uk-UA"/>
        </w:rPr>
      </w:pPr>
    </w:p>
    <w:sectPr w:rsidR="004D19F2" w:rsidRPr="00DA663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9F2"/>
    <w:rsid w:val="004D19F2"/>
    <w:rsid w:val="00D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2847"/>
  <w15:docId w15:val="{3ACEE284-E59D-46BB-BF9D-64BE6A6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Лілія Тімохіна</cp:lastModifiedBy>
  <cp:revision>2</cp:revision>
  <dcterms:created xsi:type="dcterms:W3CDTF">2019-02-05T08:29:00Z</dcterms:created>
  <dcterms:modified xsi:type="dcterms:W3CDTF">2019-02-05T08:30:00Z</dcterms:modified>
</cp:coreProperties>
</file>